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4873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首次进入校友邮箱，需要通过“忘记密码”操作重置密码，才能正常实用校友邮箱，“忘记密码”操作步骤如下：</w:t>
      </w:r>
    </w:p>
    <w:p w14:paraId="6AECFCA4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进入校友邮箱首页（</w:t>
      </w:r>
      <w:r>
        <w:rPr>
          <w:rFonts w:hint="default"/>
          <w:lang w:val="en-US" w:eastAsia="zh-CN"/>
        </w:rPr>
        <w:t>http://mail.alu.ncu.edu.cn</w:t>
      </w:r>
      <w:r>
        <w:rPr>
          <w:rFonts w:hint="eastAsia"/>
          <w:lang w:val="en-US" w:eastAsia="zh-CN"/>
        </w:rPr>
        <w:t>），点击登录框下方的“忘记密码”按钮，进入“忘记密码”界面；</w:t>
      </w:r>
    </w:p>
    <w:p w14:paraId="52B3506E"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668905"/>
            <wp:effectExtent l="0" t="0" r="1905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2BC51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在“忘记密码”界面，选择学校为“南昌大学校友邮件系统”，输入学号，点击下一步验证身份；</w:t>
      </w:r>
    </w:p>
    <w:p w14:paraId="62FDA49F"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66365"/>
            <wp:effectExtent l="0" t="0" r="190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E5F8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进入“验证身份”界面，选择“短信找回”，通过手机号验证码验证身份；（界面中提示的手机号码为您在校统一身份认证中预留的手机号码）</w:t>
      </w:r>
    </w:p>
    <w:p w14:paraId="0ABDEFA1">
      <w:pPr>
        <w:numPr>
          <w:numId w:val="0"/>
        </w:numPr>
      </w:pPr>
      <w:r>
        <w:drawing>
          <wp:inline distT="0" distB="0" distL="114300" distR="114300">
            <wp:extent cx="5264150" cy="2666365"/>
            <wp:effectExtent l="0" t="0" r="190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DDFC"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68905"/>
            <wp:effectExtent l="0" t="0" r="1905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07F8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最后点击下一步重置密码即可，注意密码需要满足特定强度要求。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59AD77"/>
    <w:multiLevelType w:val="singleLevel"/>
    <w:tmpl w:val="FD59AD7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3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C5D78"/>
    <w:rsid w:val="7D7C5D78"/>
    <w:rsid w:val="BF6E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2025-06-05T09:31:00Z</dcterms:created>
  <dc:creator>张军</dc:creator>
  <cp:lastModifiedBy>张军</cp:lastModifiedBy>
  <dcterms:modified xsi:type="dcterms:W3CDTF">2025-06-05T09:44:03Z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EEA5E535BE2BFDD469F340680B44A04F_41</vt:lpwstr>
  </property>
</Properties>
</file>